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C7C6" w14:textId="7729EEF7" w:rsidR="00C33C83" w:rsidRDefault="00C33C83" w:rsidP="0060140F">
      <w:pPr>
        <w:spacing w:after="0"/>
      </w:pPr>
    </w:p>
    <w:p w14:paraId="6B6A1EED" w14:textId="14ACEB09" w:rsidR="00165C8A" w:rsidRDefault="00165C8A" w:rsidP="00165C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T</w:t>
      </w:r>
      <w:r w:rsidR="001075A2">
        <w:rPr>
          <w:b/>
          <w:bCs/>
        </w:rPr>
        <w:t>own of Hoosick</w:t>
      </w:r>
      <w:r>
        <w:rPr>
          <w:b/>
          <w:bCs/>
        </w:rPr>
        <w:t xml:space="preserve"> </w:t>
      </w:r>
      <w:r w:rsidR="0072358F">
        <w:rPr>
          <w:b/>
          <w:bCs/>
        </w:rPr>
        <w:t xml:space="preserve">Special Permit and Area Variance </w:t>
      </w:r>
      <w:r>
        <w:rPr>
          <w:b/>
          <w:bCs/>
        </w:rPr>
        <w:t>Application</w:t>
      </w:r>
      <w:r>
        <w:t xml:space="preserve"> – S</w:t>
      </w:r>
      <w:r w:rsidR="0072358F">
        <w:t xml:space="preserve">pecial Permit </w:t>
      </w:r>
      <w:r w:rsidR="00392E6C">
        <w:t xml:space="preserve">Application and an </w:t>
      </w:r>
      <w:r w:rsidR="005E23CC">
        <w:t xml:space="preserve">Area Variance </w:t>
      </w:r>
      <w:r w:rsidR="0072358F">
        <w:t>A</w:t>
      </w:r>
      <w:r>
        <w:t xml:space="preserve">pplication prepared by Applicant for </w:t>
      </w:r>
      <w:r w:rsidR="0072358F">
        <w:t>Hawthorn</w:t>
      </w:r>
      <w:r>
        <w:t xml:space="preserve"> Solar Project</w:t>
      </w:r>
      <w:r w:rsidR="005E23CC">
        <w:t>, including name, address and contact information of applicant and system installer</w:t>
      </w:r>
      <w:r w:rsidR="00392E6C">
        <w:t>, as well as attachments for both applications</w:t>
      </w:r>
      <w:r w:rsidR="00F447AB">
        <w:t xml:space="preserve">. </w:t>
      </w:r>
    </w:p>
    <w:p w14:paraId="2744F753" w14:textId="07F16845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Added an additional application for area variance </w:t>
      </w:r>
      <w:r w:rsidR="000773AB">
        <w:rPr>
          <w:b/>
          <w:bCs/>
        </w:rPr>
        <w:t xml:space="preserve">along with area variance attachments. </w:t>
      </w:r>
    </w:p>
    <w:p w14:paraId="47C486B9" w14:textId="77777777" w:rsidR="005C28FC" w:rsidRDefault="005C28FC" w:rsidP="005C28FC">
      <w:pPr>
        <w:pStyle w:val="ListParagraph"/>
        <w:spacing w:after="0"/>
      </w:pPr>
    </w:p>
    <w:p w14:paraId="70D99866" w14:textId="2554DD42" w:rsidR="005C28FC" w:rsidRDefault="0072358F" w:rsidP="005C28F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Documentation of Land Control </w:t>
      </w:r>
      <w:r>
        <w:t>– Option to Lease Memorandum</w:t>
      </w:r>
      <w:r w:rsidR="00392E6C">
        <w:t xml:space="preserve"> and Amendments,</w:t>
      </w:r>
      <w:r>
        <w:t xml:space="preserve"> to serve as proof of legal consent between parties. </w:t>
      </w:r>
    </w:p>
    <w:p w14:paraId="748C0B98" w14:textId="7791829E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Added the amended agreement </w:t>
      </w:r>
      <w:r w:rsidR="000773AB">
        <w:rPr>
          <w:b/>
          <w:bCs/>
        </w:rPr>
        <w:t xml:space="preserve">for Marbot reflecting the option extension. </w:t>
      </w:r>
    </w:p>
    <w:p w14:paraId="681E636F" w14:textId="77777777" w:rsidR="005C28FC" w:rsidRDefault="005C28FC" w:rsidP="005C28FC">
      <w:pPr>
        <w:pStyle w:val="ListParagraph"/>
        <w:spacing w:after="0"/>
      </w:pPr>
    </w:p>
    <w:p w14:paraId="4C4FCF70" w14:textId="0A2F73CA" w:rsidR="000306CD" w:rsidRDefault="000306CD" w:rsidP="000306C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Equipment Specification Sheets</w:t>
      </w:r>
      <w:r>
        <w:t xml:space="preserve"> – Typical preliminary solar panels, inverters, and racking system, to be updated with final versions prior to receipt of building permit. </w:t>
      </w:r>
    </w:p>
    <w:p w14:paraId="449E1D27" w14:textId="6B961687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No change</w:t>
      </w:r>
      <w:r w:rsidR="000446C3">
        <w:rPr>
          <w:b/>
          <w:bCs/>
        </w:rPr>
        <w:t>.</w:t>
      </w:r>
    </w:p>
    <w:p w14:paraId="441F1BE8" w14:textId="77777777" w:rsidR="005C28FC" w:rsidRDefault="005C28FC" w:rsidP="005C28FC">
      <w:pPr>
        <w:spacing w:after="0"/>
      </w:pPr>
    </w:p>
    <w:p w14:paraId="7D716813" w14:textId="16C751F0" w:rsidR="005C28FC" w:rsidRDefault="00862EC0" w:rsidP="005C28F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Operation and Maintenance Plan</w:t>
      </w:r>
      <w:r>
        <w:t xml:space="preserve"> - Detailed plan providing an overview of the intended operation and maintenance activities necessary to support the Project throughout its operational life.</w:t>
      </w:r>
    </w:p>
    <w:p w14:paraId="746BBF66" w14:textId="47C5A520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Added in details requested through the memo, </w:t>
      </w:r>
      <w:r w:rsidR="00F51D42">
        <w:rPr>
          <w:b/>
          <w:bCs/>
        </w:rPr>
        <w:t>including the additional of several sections</w:t>
      </w:r>
      <w:r w:rsidR="00EA5821">
        <w:rPr>
          <w:b/>
          <w:bCs/>
        </w:rPr>
        <w:t xml:space="preserve"> as identified in the memo</w:t>
      </w:r>
      <w:r w:rsidR="00F51D42">
        <w:rPr>
          <w:b/>
          <w:bCs/>
        </w:rPr>
        <w:t xml:space="preserve">, and added in language regarding co utilization. </w:t>
      </w:r>
    </w:p>
    <w:p w14:paraId="30698341" w14:textId="77777777" w:rsidR="005C28FC" w:rsidRDefault="005C28FC" w:rsidP="005C28FC">
      <w:pPr>
        <w:spacing w:after="0"/>
      </w:pPr>
    </w:p>
    <w:p w14:paraId="4811A574" w14:textId="17373004" w:rsidR="00862EC0" w:rsidRDefault="00862EC0" w:rsidP="00165C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Decommissioning Plan &amp; Form Agreement</w:t>
      </w:r>
      <w:r>
        <w:t xml:space="preserve"> - Detailed plan providing an overview of the major activities required to fully decommission the </w:t>
      </w:r>
      <w:r w:rsidR="005E23CC">
        <w:t>Pr</w:t>
      </w:r>
      <w:r>
        <w:t xml:space="preserve">oject </w:t>
      </w:r>
      <w:r w:rsidR="005E23CC">
        <w:t>s</w:t>
      </w:r>
      <w:r>
        <w:t>ite and return it to its original condition, and a form agreement to be executed between the Town and the Applicant setting the terms, amounts, and schedule for decommissioning.</w:t>
      </w:r>
    </w:p>
    <w:p w14:paraId="36D71A8F" w14:textId="2379EDD7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Modified based on the memo, removing all conduit</w:t>
      </w:r>
      <w:r w:rsidR="00F51D42">
        <w:rPr>
          <w:b/>
          <w:bCs/>
        </w:rPr>
        <w:t xml:space="preserve"> and underground equipment</w:t>
      </w:r>
      <w:r>
        <w:rPr>
          <w:b/>
          <w:bCs/>
        </w:rPr>
        <w:t xml:space="preserve">, adjusted decommissioning estimate </w:t>
      </w:r>
      <w:r w:rsidR="00F51D42">
        <w:rPr>
          <w:b/>
          <w:bCs/>
        </w:rPr>
        <w:t xml:space="preserve">to reflect the memo request and added language regarding the town boards coordination. </w:t>
      </w:r>
    </w:p>
    <w:p w14:paraId="62C5F781" w14:textId="77777777" w:rsidR="005C28FC" w:rsidRDefault="005C28FC" w:rsidP="005C28FC">
      <w:pPr>
        <w:spacing w:after="0"/>
      </w:pPr>
    </w:p>
    <w:p w14:paraId="466ECA50" w14:textId="7E57573E" w:rsidR="00FF138F" w:rsidRDefault="00862EC0" w:rsidP="00FF138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Plan of Access and Training</w:t>
      </w:r>
      <w:r>
        <w:t xml:space="preserve"> – </w:t>
      </w:r>
      <w:r w:rsidR="005E23CC">
        <w:t>O</w:t>
      </w:r>
      <w:r>
        <w:t xml:space="preserve">verview of safety measures and </w:t>
      </w:r>
      <w:r w:rsidR="00F447AB">
        <w:t>a plan</w:t>
      </w:r>
      <w:r>
        <w:t xml:space="preserve"> for safety </w:t>
      </w:r>
      <w:r w:rsidR="00F447AB">
        <w:t xml:space="preserve">of the site and </w:t>
      </w:r>
      <w:r>
        <w:t>training</w:t>
      </w:r>
      <w:r w:rsidR="005E23CC">
        <w:t xml:space="preserve"> measures to be employed</w:t>
      </w:r>
      <w:r>
        <w:t xml:space="preserve">. </w:t>
      </w:r>
    </w:p>
    <w:p w14:paraId="02104D36" w14:textId="77EB2443" w:rsidR="00FF138F" w:rsidRDefault="00FF138F" w:rsidP="00FF138F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No change</w:t>
      </w:r>
      <w:r w:rsidR="000446C3">
        <w:rPr>
          <w:b/>
          <w:bCs/>
        </w:rPr>
        <w:t>.</w:t>
      </w:r>
    </w:p>
    <w:p w14:paraId="350CFD51" w14:textId="77777777" w:rsidR="001075A2" w:rsidRDefault="001075A2" w:rsidP="001075A2">
      <w:pPr>
        <w:spacing w:after="0"/>
      </w:pPr>
    </w:p>
    <w:p w14:paraId="19A73273" w14:textId="03450480" w:rsidR="00862EC0" w:rsidRDefault="00862EC0" w:rsidP="00165C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Visual Assessment </w:t>
      </w:r>
      <w:r>
        <w:t xml:space="preserve">– 2 mile viewshed analysis, indicating potential views through an assessment of topography. </w:t>
      </w:r>
      <w:r w:rsidR="001523B7">
        <w:t>This analysis does not include existing vegetation or proposed landscaping, which is included</w:t>
      </w:r>
      <w:r w:rsidR="00392E6C">
        <w:t xml:space="preserve"> as an additional exhibit. An assessment memo describing the viewshed attachment approach and a visual rendering </w:t>
      </w:r>
      <w:r w:rsidR="004B4F1D">
        <w:t>including proposed landscaping</w:t>
      </w:r>
      <w:r w:rsidR="005C28FC">
        <w:t>.</w:t>
      </w:r>
    </w:p>
    <w:p w14:paraId="26B3D13E" w14:textId="489296C0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Added a memo that </w:t>
      </w:r>
      <w:r w:rsidR="00F51D42">
        <w:rPr>
          <w:b/>
          <w:bCs/>
        </w:rPr>
        <w:t>describes assessment approach</w:t>
      </w:r>
      <w:r w:rsidR="000446C3">
        <w:rPr>
          <w:b/>
          <w:bCs/>
        </w:rPr>
        <w:t xml:space="preserve"> and visual renderings. </w:t>
      </w:r>
    </w:p>
    <w:p w14:paraId="0F7A4037" w14:textId="77777777" w:rsidR="005C28FC" w:rsidRDefault="005C28FC" w:rsidP="005C28FC">
      <w:pPr>
        <w:spacing w:after="0"/>
        <w:ind w:left="360"/>
      </w:pPr>
    </w:p>
    <w:p w14:paraId="3C7A9791" w14:textId="77777777" w:rsidR="005C28FC" w:rsidRDefault="00862EC0" w:rsidP="005C28F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Ag Data Statement </w:t>
      </w:r>
      <w:r>
        <w:t xml:space="preserve">– Form </w:t>
      </w:r>
      <w:r w:rsidR="00660B6D">
        <w:t>indicating</w:t>
      </w:r>
      <w:r>
        <w:t xml:space="preserve"> all agricultural lands within 500 feet</w:t>
      </w:r>
      <w:r w:rsidR="00660B6D">
        <w:t xml:space="preserve"> of the property boundary of the proposed action. </w:t>
      </w:r>
    </w:p>
    <w:p w14:paraId="2F78CC35" w14:textId="3AAE2CE0" w:rsidR="00F51D42" w:rsidRDefault="00F51D42" w:rsidP="00F51D42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No change</w:t>
      </w:r>
      <w:r w:rsidR="000446C3">
        <w:rPr>
          <w:b/>
          <w:bCs/>
        </w:rPr>
        <w:t>.</w:t>
      </w:r>
    </w:p>
    <w:p w14:paraId="2DB493ED" w14:textId="77777777" w:rsidR="005C28FC" w:rsidRDefault="005C28FC" w:rsidP="005C28FC">
      <w:pPr>
        <w:spacing w:after="0"/>
      </w:pPr>
    </w:p>
    <w:p w14:paraId="3CA8022F" w14:textId="428BABE6" w:rsidR="000773AB" w:rsidRDefault="00660B6D" w:rsidP="000446C3">
      <w:pPr>
        <w:pStyle w:val="ListParagraph"/>
        <w:numPr>
          <w:ilvl w:val="0"/>
          <w:numId w:val="1"/>
        </w:numPr>
        <w:spacing w:after="0"/>
      </w:pPr>
      <w:r w:rsidRPr="005C28FC">
        <w:rPr>
          <w:b/>
          <w:bCs/>
        </w:rPr>
        <w:lastRenderedPageBreak/>
        <w:t>Full SEQR Environmental Assessment Form (EAF) Part 1</w:t>
      </w:r>
      <w:r>
        <w:t xml:space="preserve"> – Form prepared by Applicant for review by the Board under the SEQR process, including supporting exhibits to clarify and further explain potential environmental impacts. </w:t>
      </w:r>
      <w:r w:rsidR="00282132">
        <w:t xml:space="preserve">An assessment of the impacts under SEQR Part II is also included. </w:t>
      </w:r>
      <w:r w:rsidRPr="00A4668C">
        <w:t xml:space="preserve"> </w:t>
      </w:r>
    </w:p>
    <w:p w14:paraId="7AEBA1B8" w14:textId="78AC76C2" w:rsidR="000773AB" w:rsidRPr="00EA5821" w:rsidRDefault="000773AB" w:rsidP="000773AB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Project description has one </w:t>
      </w:r>
      <w:r w:rsidR="000446C3">
        <w:rPr>
          <w:b/>
          <w:bCs/>
        </w:rPr>
        <w:t>change</w:t>
      </w:r>
      <w:r>
        <w:rPr>
          <w:b/>
          <w:bCs/>
        </w:rPr>
        <w:t xml:space="preserve"> regarding </w:t>
      </w:r>
      <w:r w:rsidR="00F51D42">
        <w:rPr>
          <w:b/>
          <w:bCs/>
        </w:rPr>
        <w:t>the letter of no jurisdiction, which is included in in Exhibit 1</w:t>
      </w:r>
      <w:r w:rsidR="000446C3">
        <w:rPr>
          <w:b/>
          <w:bCs/>
        </w:rPr>
        <w:t xml:space="preserve">, to clarify that it applies to species, not wetlands, as shown in the Exhibit. </w:t>
      </w:r>
    </w:p>
    <w:p w14:paraId="68978F8E" w14:textId="703B6CA6" w:rsidR="00EA5821" w:rsidRDefault="00EA5821" w:rsidP="000773AB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Included FEAF Part II. </w:t>
      </w:r>
    </w:p>
    <w:p w14:paraId="1A785463" w14:textId="10AA3DE5" w:rsidR="005C28FC" w:rsidRDefault="005C28FC" w:rsidP="000446C3">
      <w:pPr>
        <w:spacing w:after="0"/>
        <w:ind w:left="2160"/>
        <w:rPr>
          <w:sz w:val="18"/>
          <w:szCs w:val="18"/>
        </w:rPr>
      </w:pPr>
      <w:r w:rsidRPr="005C28FC">
        <w:rPr>
          <w:sz w:val="18"/>
          <w:szCs w:val="18"/>
        </w:rPr>
        <w:t>* These exhibits provide context to the construction methods and timeframe that will be followed and the measured impl</w:t>
      </w:r>
      <w:r w:rsidR="005E23CC">
        <w:rPr>
          <w:sz w:val="18"/>
          <w:szCs w:val="18"/>
        </w:rPr>
        <w:t>emen</w:t>
      </w:r>
      <w:r w:rsidRPr="005C28FC">
        <w:rPr>
          <w:sz w:val="18"/>
          <w:szCs w:val="18"/>
        </w:rPr>
        <w:t xml:space="preserve">ted to mitigate potential impacts, addressing E2d, D1e and E1b of FEAF Part II.  </w:t>
      </w:r>
    </w:p>
    <w:p w14:paraId="4BAFC064" w14:textId="123399B8" w:rsidR="001523B7" w:rsidRDefault="005C28FC" w:rsidP="000446C3">
      <w:pPr>
        <w:spacing w:after="0"/>
        <w:ind w:left="2160"/>
        <w:rPr>
          <w:sz w:val="18"/>
          <w:szCs w:val="18"/>
        </w:rPr>
      </w:pPr>
      <w:r>
        <w:rPr>
          <w:sz w:val="18"/>
          <w:szCs w:val="18"/>
        </w:rPr>
        <w:t>* Exhibit 2 will address impacts to agricultural lands, speaking to C2e, C3, D2c, D2d and C2e of FEAF Part II.</w:t>
      </w:r>
    </w:p>
    <w:p w14:paraId="7C2B7D0E" w14:textId="77777777" w:rsidR="005C28FC" w:rsidRPr="005C28FC" w:rsidRDefault="005C28FC" w:rsidP="005C28FC">
      <w:pPr>
        <w:spacing w:after="0"/>
        <w:rPr>
          <w:sz w:val="18"/>
          <w:szCs w:val="18"/>
        </w:rPr>
      </w:pPr>
    </w:p>
    <w:p w14:paraId="79119295" w14:textId="4C2486CF" w:rsidR="00660B6D" w:rsidRDefault="00660B6D" w:rsidP="001523B7">
      <w:pPr>
        <w:pStyle w:val="ListParagraph"/>
        <w:numPr>
          <w:ilvl w:val="0"/>
          <w:numId w:val="1"/>
        </w:numPr>
        <w:spacing w:after="0"/>
      </w:pPr>
      <w:r w:rsidRPr="001523B7">
        <w:rPr>
          <w:b/>
          <w:bCs/>
        </w:rPr>
        <w:t>Full Site Plan Set</w:t>
      </w:r>
      <w:r>
        <w:t xml:space="preserve"> – Sketch Plan prepared by a licensed 3</w:t>
      </w:r>
      <w:r w:rsidRPr="001523B7">
        <w:rPr>
          <w:vertAlign w:val="superscript"/>
        </w:rPr>
        <w:t>rd</w:t>
      </w:r>
      <w:r>
        <w:t xml:space="preserve"> party engineer showing the existing and proposed conditions on the Property, including proposed landscaping measures, grading, and erosion and stormwater controls</w:t>
      </w:r>
      <w:r w:rsidR="001075A2">
        <w:t xml:space="preserve">, as well as a blueprint of the layout. </w:t>
      </w:r>
    </w:p>
    <w:p w14:paraId="75F5E932" w14:textId="4FC0975E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Edits reflect those requested in the memo </w:t>
      </w:r>
      <w:r w:rsidR="000446C3">
        <w:rPr>
          <w:b/>
          <w:bCs/>
        </w:rPr>
        <w:t>– including an engineers stamp, addition of the Fire Department, and one name change.</w:t>
      </w:r>
      <w:r w:rsidR="00EA5821">
        <w:rPr>
          <w:b/>
          <w:bCs/>
        </w:rPr>
        <w:t xml:space="preserve"> SWPPP site plan changes also incorporated, aside from those identified in 13 below. </w:t>
      </w:r>
    </w:p>
    <w:p w14:paraId="76A9490E" w14:textId="2687AC81" w:rsidR="00FF138F" w:rsidRDefault="005C28FC" w:rsidP="00FF138F">
      <w:pPr>
        <w:spacing w:after="0"/>
        <w:ind w:left="1440"/>
        <w:rPr>
          <w:sz w:val="18"/>
          <w:szCs w:val="18"/>
        </w:rPr>
      </w:pPr>
      <w:r w:rsidRPr="005C28FC">
        <w:rPr>
          <w:sz w:val="18"/>
          <w:szCs w:val="18"/>
        </w:rPr>
        <w:t>* The site plan will include viewshed mitigation measures of potentially affected nearby residences and during routine travel, which addresses E2q of FEAF Part II</w:t>
      </w:r>
      <w:r>
        <w:rPr>
          <w:sz w:val="18"/>
          <w:szCs w:val="18"/>
        </w:rPr>
        <w:t>.</w:t>
      </w:r>
    </w:p>
    <w:p w14:paraId="09AFD3DA" w14:textId="77777777" w:rsidR="005C28FC" w:rsidRDefault="005C28FC" w:rsidP="005C28FC">
      <w:pPr>
        <w:spacing w:after="0"/>
      </w:pPr>
    </w:p>
    <w:p w14:paraId="05B41105" w14:textId="73401B55" w:rsidR="00660B6D" w:rsidRDefault="00660B6D" w:rsidP="00660B6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Electrical Single Line Diagram </w:t>
      </w:r>
      <w:r>
        <w:t>– Drawing showing major components of the Project’s electrical system.</w:t>
      </w:r>
    </w:p>
    <w:p w14:paraId="57292BDE" w14:textId="09A7B233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No change</w:t>
      </w:r>
      <w:r w:rsidR="000446C3">
        <w:rPr>
          <w:b/>
          <w:bCs/>
        </w:rPr>
        <w:t>.</w:t>
      </w:r>
    </w:p>
    <w:p w14:paraId="0EA59AEF" w14:textId="77777777" w:rsidR="005C28FC" w:rsidRDefault="005C28FC" w:rsidP="005C28FC">
      <w:pPr>
        <w:pStyle w:val="ListParagraph"/>
        <w:spacing w:after="0"/>
      </w:pPr>
    </w:p>
    <w:p w14:paraId="7368A7E3" w14:textId="5DB5F192" w:rsidR="00FF138F" w:rsidRDefault="00165C8A" w:rsidP="000773AB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Authorization of Agent </w:t>
      </w:r>
      <w:r>
        <w:t xml:space="preserve">– Authorization from involved parties </w:t>
      </w:r>
      <w:r w:rsidR="0072358F">
        <w:t>allowing Applicant to act as Agent in permitting the Project</w:t>
      </w:r>
      <w:r>
        <w:t xml:space="preserve">. </w:t>
      </w:r>
    </w:p>
    <w:p w14:paraId="72F9C788" w14:textId="584F08E1" w:rsidR="00FF138F" w:rsidRDefault="00FF138F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No </w:t>
      </w:r>
      <w:r w:rsidR="000446C3">
        <w:rPr>
          <w:b/>
          <w:bCs/>
        </w:rPr>
        <w:t>c</w:t>
      </w:r>
      <w:r>
        <w:rPr>
          <w:b/>
          <w:bCs/>
        </w:rPr>
        <w:t>hange</w:t>
      </w:r>
      <w:r w:rsidR="000446C3">
        <w:rPr>
          <w:b/>
          <w:bCs/>
        </w:rPr>
        <w:t>.</w:t>
      </w:r>
    </w:p>
    <w:p w14:paraId="59052E43" w14:textId="77777777" w:rsidR="005C28FC" w:rsidRDefault="005C28FC" w:rsidP="005C28FC">
      <w:pPr>
        <w:spacing w:after="0"/>
      </w:pPr>
    </w:p>
    <w:p w14:paraId="5F6C5202" w14:textId="1683C2B5" w:rsidR="00660B6D" w:rsidRDefault="00660B6D" w:rsidP="00660B6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Draft Stormwater Pollution Prevention Plan (SWPPP) </w:t>
      </w:r>
      <w:r>
        <w:t xml:space="preserve">– Draft plan for sediment and erosion control </w:t>
      </w:r>
      <w:r>
        <w:tab/>
        <w:t>during construction of the project.</w:t>
      </w:r>
    </w:p>
    <w:p w14:paraId="1A10B581" w14:textId="1E5A4210" w:rsidR="00FF138F" w:rsidRPr="000446C3" w:rsidRDefault="00FF138F" w:rsidP="00FF138F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0446C3">
        <w:rPr>
          <w:b/>
          <w:bCs/>
        </w:rPr>
        <w:t xml:space="preserve">All comments in the memo have been addressed with the exception of several minor items and a few areas which our engineers and Laberge have requested input from the DEC. </w:t>
      </w:r>
    </w:p>
    <w:p w14:paraId="6DF24424" w14:textId="487292E7" w:rsidR="00F51D42" w:rsidRPr="000446C3" w:rsidRDefault="00F51D42" w:rsidP="00F51D42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0446C3">
        <w:rPr>
          <w:b/>
          <w:bCs/>
        </w:rPr>
        <w:t>Comments unable to be addressed due to stormwater guidance:</w:t>
      </w:r>
    </w:p>
    <w:p w14:paraId="6D99F818" w14:textId="6C4B9683" w:rsidR="00F51D42" w:rsidRPr="000446C3" w:rsidRDefault="00F51D42" w:rsidP="00F51D42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 w:rsidRPr="000446C3">
        <w:rPr>
          <w:b/>
          <w:bCs/>
        </w:rPr>
        <w:t xml:space="preserve">Comments 18-25, Comment </w:t>
      </w:r>
      <w:r w:rsidR="008C2987">
        <w:rPr>
          <w:b/>
          <w:bCs/>
        </w:rPr>
        <w:t>41.</w:t>
      </w:r>
      <w:r w:rsidRPr="000446C3">
        <w:rPr>
          <w:b/>
          <w:bCs/>
        </w:rPr>
        <w:t>J, and Comment 42.B.iii-v</w:t>
      </w:r>
    </w:p>
    <w:p w14:paraId="33EB355A" w14:textId="1EF047CC" w:rsidR="00F51D42" w:rsidRPr="000446C3" w:rsidRDefault="00F51D42" w:rsidP="00F51D42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0446C3">
        <w:rPr>
          <w:b/>
          <w:bCs/>
        </w:rPr>
        <w:t xml:space="preserve">Comments unable to be addressed due to time, which will be incorporated prior to submission to address stormwater guidance: </w:t>
      </w:r>
    </w:p>
    <w:p w14:paraId="131FC322" w14:textId="08F3DE32" w:rsidR="00F51D42" w:rsidRPr="000446C3" w:rsidRDefault="00E53694" w:rsidP="00F51D42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 w:rsidRPr="000446C3">
        <w:rPr>
          <w:b/>
          <w:bCs/>
        </w:rPr>
        <w:t xml:space="preserve">Comments 1, 3, 7, 8, 17.a and d, 27, </w:t>
      </w:r>
      <w:r w:rsidR="000446C3">
        <w:rPr>
          <w:b/>
          <w:bCs/>
        </w:rPr>
        <w:t>and 41.E-</w:t>
      </w:r>
      <w:r w:rsidR="00D55AB7">
        <w:rPr>
          <w:b/>
          <w:bCs/>
        </w:rPr>
        <w:t>I, and K</w:t>
      </w:r>
    </w:p>
    <w:p w14:paraId="12B38838" w14:textId="77777777" w:rsidR="005C28FC" w:rsidRPr="00E860F9" w:rsidRDefault="005C28FC" w:rsidP="005C28FC">
      <w:pPr>
        <w:spacing w:after="0"/>
      </w:pPr>
    </w:p>
    <w:p w14:paraId="25483D81" w14:textId="1BC50856" w:rsidR="00660B6D" w:rsidRDefault="00660B6D" w:rsidP="00165C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Area Variance</w:t>
      </w:r>
      <w:r>
        <w:t xml:space="preserve"> – Area variance submission providing explanations to each of the elements as required by local ordinance as well as a map indicating </w:t>
      </w:r>
      <w:r w:rsidR="001F5598">
        <w:t xml:space="preserve">the </w:t>
      </w:r>
      <w:r>
        <w:t xml:space="preserve">locations of </w:t>
      </w:r>
      <w:r w:rsidR="001F5598">
        <w:t>proposed</w:t>
      </w:r>
      <w:r>
        <w:t xml:space="preserve"> variance</w:t>
      </w:r>
      <w:r w:rsidR="001F5598">
        <w:t>s</w:t>
      </w:r>
      <w:r>
        <w:t xml:space="preserve">. </w:t>
      </w:r>
    </w:p>
    <w:p w14:paraId="7346C2A0" w14:textId="77777777" w:rsidR="000773AB" w:rsidRDefault="000773AB" w:rsidP="00086FAA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No change</w:t>
      </w:r>
    </w:p>
    <w:p w14:paraId="0A7C031F" w14:textId="3A0E3CEE" w:rsidR="00086FAA" w:rsidRPr="008C2987" w:rsidRDefault="000773AB" w:rsidP="000773AB">
      <w:pPr>
        <w:pStyle w:val="ListParagraph"/>
        <w:numPr>
          <w:ilvl w:val="2"/>
          <w:numId w:val="1"/>
        </w:numPr>
        <w:spacing w:after="0"/>
        <w:rPr>
          <w:sz w:val="14"/>
          <w:szCs w:val="14"/>
        </w:rPr>
      </w:pPr>
      <w:r w:rsidRPr="008C2987">
        <w:rPr>
          <w:sz w:val="14"/>
          <w:szCs w:val="14"/>
        </w:rPr>
        <w:lastRenderedPageBreak/>
        <w:t>Note: this layout does not reflect the most up to date layout</w:t>
      </w:r>
      <w:r w:rsidR="000446C3" w:rsidRPr="008C2987">
        <w:rPr>
          <w:sz w:val="14"/>
          <w:szCs w:val="14"/>
        </w:rPr>
        <w:t>. T</w:t>
      </w:r>
      <w:r w:rsidRPr="008C2987">
        <w:rPr>
          <w:sz w:val="14"/>
          <w:szCs w:val="14"/>
        </w:rPr>
        <w:t>he variance locations are the same so it has not been updated</w:t>
      </w:r>
      <w:r w:rsidR="008C2987">
        <w:rPr>
          <w:sz w:val="14"/>
          <w:szCs w:val="14"/>
        </w:rPr>
        <w:t>, but it will not show the changes made to the site plan</w:t>
      </w:r>
      <w:r w:rsidR="000446C3" w:rsidRPr="008C2987">
        <w:rPr>
          <w:sz w:val="14"/>
          <w:szCs w:val="14"/>
        </w:rPr>
        <w:t xml:space="preserve">. </w:t>
      </w:r>
    </w:p>
    <w:p w14:paraId="23BACE4C" w14:textId="77777777" w:rsidR="00282132" w:rsidRDefault="00282132" w:rsidP="00282132">
      <w:pPr>
        <w:pStyle w:val="ListParagraph"/>
      </w:pPr>
    </w:p>
    <w:p w14:paraId="70046A34" w14:textId="309D5C5F" w:rsidR="00FF138F" w:rsidRDefault="00282132" w:rsidP="00FF138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Proposed Landscaping Plan</w:t>
      </w:r>
      <w:r>
        <w:t xml:space="preserve"> – Identifies the locations of proposed planting around the proposed project site. </w:t>
      </w:r>
    </w:p>
    <w:p w14:paraId="53188DCA" w14:textId="18CD2ACB" w:rsidR="00FF138F" w:rsidRDefault="00F51D42" w:rsidP="00FF138F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Modified proposed landscaping measures</w:t>
      </w:r>
      <w:r w:rsidRPr="00F51D42">
        <w:t>.</w:t>
      </w:r>
      <w:r>
        <w:t xml:space="preserve"> </w:t>
      </w:r>
      <w:r>
        <w:rPr>
          <w:b/>
          <w:bCs/>
        </w:rPr>
        <w:t>Included as separate item</w:t>
      </w:r>
      <w:r w:rsidR="000446C3">
        <w:rPr>
          <w:b/>
          <w:bCs/>
        </w:rPr>
        <w:t xml:space="preserve"> and </w:t>
      </w:r>
      <w:r>
        <w:rPr>
          <w:b/>
          <w:bCs/>
        </w:rPr>
        <w:t xml:space="preserve">also at the end of the site plan. </w:t>
      </w:r>
      <w:r w:rsidR="00EA5821">
        <w:rPr>
          <w:b/>
          <w:bCs/>
        </w:rPr>
        <w:t xml:space="preserve">Planting plan includes additional species and staggered planting. </w:t>
      </w:r>
    </w:p>
    <w:p w14:paraId="67DE216B" w14:textId="77777777" w:rsidR="00282132" w:rsidRDefault="00282132" w:rsidP="00282132">
      <w:pPr>
        <w:pStyle w:val="ListParagraph"/>
      </w:pPr>
    </w:p>
    <w:p w14:paraId="174CC364" w14:textId="4AFB230A" w:rsidR="000135A8" w:rsidRDefault="00282132" w:rsidP="0060140F">
      <w:pPr>
        <w:pStyle w:val="ListParagraph"/>
        <w:numPr>
          <w:ilvl w:val="0"/>
          <w:numId w:val="1"/>
        </w:numPr>
        <w:spacing w:after="0"/>
      </w:pPr>
      <w:r w:rsidRPr="00282132">
        <w:rPr>
          <w:b/>
          <w:bCs/>
        </w:rPr>
        <w:t>Stormwater Management and Road Remediation Agreement</w:t>
      </w:r>
      <w:r>
        <w:t xml:space="preserve"> – Draft language for a stormwater management road remediation agreement to maintain stormwater controls through operation, and ensure roads are remediated following construction of the Project.</w:t>
      </w:r>
    </w:p>
    <w:p w14:paraId="7A2C70D7" w14:textId="4A48F2C4" w:rsidR="000773AB" w:rsidRDefault="000446C3" w:rsidP="000773AB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Included to allow for the town attorney to review the language. Road remediation included to address request from Highway Superintendent. </w:t>
      </w:r>
    </w:p>
    <w:p w14:paraId="7F1C0A70" w14:textId="77777777" w:rsidR="001F5598" w:rsidRDefault="001F5598" w:rsidP="0060140F">
      <w:pPr>
        <w:spacing w:after="0"/>
      </w:pPr>
    </w:p>
    <w:sectPr w:rsidR="001F55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AE43" w14:textId="77777777" w:rsidR="00D46841" w:rsidRDefault="00D46841" w:rsidP="0060140F">
      <w:pPr>
        <w:spacing w:after="0" w:line="240" w:lineRule="auto"/>
      </w:pPr>
      <w:r>
        <w:separator/>
      </w:r>
    </w:p>
  </w:endnote>
  <w:endnote w:type="continuationSeparator" w:id="0">
    <w:p w14:paraId="5B3FF48A" w14:textId="77777777" w:rsidR="00D46841" w:rsidRDefault="00D46841" w:rsidP="0060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37D3" w14:textId="49DEFCC5" w:rsidR="001A5C92" w:rsidRDefault="001A5C9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93E50A" wp14:editId="2AFFBEB2">
          <wp:simplePos x="0" y="0"/>
          <wp:positionH relativeFrom="page">
            <wp:align>right</wp:align>
          </wp:positionH>
          <wp:positionV relativeFrom="paragraph">
            <wp:posOffset>-215900</wp:posOffset>
          </wp:positionV>
          <wp:extent cx="7772400" cy="829056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-energy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9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F17E" w14:textId="77777777" w:rsidR="00D46841" w:rsidRDefault="00D46841" w:rsidP="0060140F">
      <w:pPr>
        <w:spacing w:after="0" w:line="240" w:lineRule="auto"/>
      </w:pPr>
      <w:r>
        <w:separator/>
      </w:r>
    </w:p>
  </w:footnote>
  <w:footnote w:type="continuationSeparator" w:id="0">
    <w:p w14:paraId="2E0CC0F8" w14:textId="77777777" w:rsidR="00D46841" w:rsidRDefault="00D46841" w:rsidP="0060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BBEF" w14:textId="7153A721" w:rsidR="0060140F" w:rsidRDefault="006014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F97DF" wp14:editId="7F0B7790">
          <wp:simplePos x="0" y="0"/>
          <wp:positionH relativeFrom="column">
            <wp:posOffset>-561975</wp:posOffset>
          </wp:positionH>
          <wp:positionV relativeFrom="paragraph">
            <wp:posOffset>-180975</wp:posOffset>
          </wp:positionV>
          <wp:extent cx="2052320" cy="40005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CB"/>
    <w:multiLevelType w:val="hybridMultilevel"/>
    <w:tmpl w:val="8A0EB632"/>
    <w:lvl w:ilvl="0" w:tplc="CEE6EC1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B24B5"/>
    <w:multiLevelType w:val="hybridMultilevel"/>
    <w:tmpl w:val="BDA63FA6"/>
    <w:lvl w:ilvl="0" w:tplc="5A9A58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C565B1"/>
    <w:multiLevelType w:val="hybridMultilevel"/>
    <w:tmpl w:val="DAF8F4D2"/>
    <w:lvl w:ilvl="0" w:tplc="D14AA54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CD29A2"/>
    <w:multiLevelType w:val="hybridMultilevel"/>
    <w:tmpl w:val="4622023A"/>
    <w:lvl w:ilvl="0" w:tplc="3F32EE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691239"/>
    <w:multiLevelType w:val="hybridMultilevel"/>
    <w:tmpl w:val="A6884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3047">
    <w:abstractNumId w:val="4"/>
  </w:num>
  <w:num w:numId="2" w16cid:durableId="688142880">
    <w:abstractNumId w:val="1"/>
  </w:num>
  <w:num w:numId="3" w16cid:durableId="1089036440">
    <w:abstractNumId w:val="0"/>
  </w:num>
  <w:num w:numId="4" w16cid:durableId="687681109">
    <w:abstractNumId w:val="3"/>
  </w:num>
  <w:num w:numId="5" w16cid:durableId="79085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7F8"/>
    <w:rsid w:val="000135A8"/>
    <w:rsid w:val="000306CD"/>
    <w:rsid w:val="000446C3"/>
    <w:rsid w:val="000773AB"/>
    <w:rsid w:val="00086FAA"/>
    <w:rsid w:val="000F37F8"/>
    <w:rsid w:val="001023F5"/>
    <w:rsid w:val="001075A2"/>
    <w:rsid w:val="00124918"/>
    <w:rsid w:val="001523B7"/>
    <w:rsid w:val="00165C8A"/>
    <w:rsid w:val="001A5C92"/>
    <w:rsid w:val="001D1AAD"/>
    <w:rsid w:val="001F5598"/>
    <w:rsid w:val="0022415C"/>
    <w:rsid w:val="00282132"/>
    <w:rsid w:val="00345518"/>
    <w:rsid w:val="00353B30"/>
    <w:rsid w:val="00392E6C"/>
    <w:rsid w:val="004B4F1D"/>
    <w:rsid w:val="004E331D"/>
    <w:rsid w:val="005C28FC"/>
    <w:rsid w:val="005C45A8"/>
    <w:rsid w:val="005E23CC"/>
    <w:rsid w:val="0060140F"/>
    <w:rsid w:val="0062270D"/>
    <w:rsid w:val="00660B6D"/>
    <w:rsid w:val="006F5DDF"/>
    <w:rsid w:val="007202D7"/>
    <w:rsid w:val="0072358F"/>
    <w:rsid w:val="00746795"/>
    <w:rsid w:val="007471B9"/>
    <w:rsid w:val="00750814"/>
    <w:rsid w:val="007D3909"/>
    <w:rsid w:val="00804D81"/>
    <w:rsid w:val="00851075"/>
    <w:rsid w:val="00851470"/>
    <w:rsid w:val="00862EC0"/>
    <w:rsid w:val="008C2987"/>
    <w:rsid w:val="008D253B"/>
    <w:rsid w:val="00907118"/>
    <w:rsid w:val="00A256F9"/>
    <w:rsid w:val="00A4668C"/>
    <w:rsid w:val="00A5166A"/>
    <w:rsid w:val="00A52393"/>
    <w:rsid w:val="00A61B3D"/>
    <w:rsid w:val="00B74A6D"/>
    <w:rsid w:val="00C33C83"/>
    <w:rsid w:val="00C53837"/>
    <w:rsid w:val="00CC4E67"/>
    <w:rsid w:val="00D02A3D"/>
    <w:rsid w:val="00D112F2"/>
    <w:rsid w:val="00D45B9B"/>
    <w:rsid w:val="00D46841"/>
    <w:rsid w:val="00D55AB7"/>
    <w:rsid w:val="00D6706E"/>
    <w:rsid w:val="00D92188"/>
    <w:rsid w:val="00DF7EE9"/>
    <w:rsid w:val="00E53694"/>
    <w:rsid w:val="00E6187A"/>
    <w:rsid w:val="00E860F9"/>
    <w:rsid w:val="00EA5821"/>
    <w:rsid w:val="00F447AB"/>
    <w:rsid w:val="00F51D42"/>
    <w:rsid w:val="00FE78F2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7000"/>
  <w15:docId w15:val="{DFBC5A53-3ACB-4705-8954-FBA22D5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0F"/>
  </w:style>
  <w:style w:type="paragraph" w:styleId="Footer">
    <w:name w:val="footer"/>
    <w:basedOn w:val="Normal"/>
    <w:link w:val="FooterChar"/>
    <w:uiPriority w:val="99"/>
    <w:unhideWhenUsed/>
    <w:rsid w:val="0060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0F"/>
  </w:style>
  <w:style w:type="paragraph" w:styleId="ListParagraph">
    <w:name w:val="List Paragraph"/>
    <w:basedOn w:val="Normal"/>
    <w:uiPriority w:val="34"/>
    <w:qFormat/>
    <w:rsid w:val="00165C8A"/>
    <w:pPr>
      <w:ind w:left="720"/>
      <w:contextualSpacing/>
    </w:pPr>
  </w:style>
  <w:style w:type="paragraph" w:styleId="Revision">
    <w:name w:val="Revision"/>
    <w:hidden/>
    <w:uiPriority w:val="99"/>
    <w:semiHidden/>
    <w:rsid w:val="001523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F6B10856254DAD25917945EA4310" ma:contentTypeVersion="19" ma:contentTypeDescription="Create a new document." ma:contentTypeScope="" ma:versionID="c756b161667d5e9f9407fde9272efc7f">
  <xsd:schema xmlns:xsd="http://www.w3.org/2001/XMLSchema" xmlns:xs="http://www.w3.org/2001/XMLSchema" xmlns:p="http://schemas.microsoft.com/office/2006/metadata/properties" xmlns:ns1="http://schemas.microsoft.com/sharepoint/v3" xmlns:ns2="0a26001e-1341-430d-bfaf-fad9ae95a85d" xmlns:ns3="523cba36-0f07-48bd-a48f-4ecc1d36d830" targetNamespace="http://schemas.microsoft.com/office/2006/metadata/properties" ma:root="true" ma:fieldsID="ad30d4d9f5b7ee0ccd63e1610d589e6c" ns1:_="" ns2:_="" ns3:_="">
    <xsd:import namespace="http://schemas.microsoft.com/sharepoint/v3"/>
    <xsd:import namespace="0a26001e-1341-430d-bfaf-fad9ae95a85d"/>
    <xsd:import namespace="523cba36-0f07-48bd-a48f-4ecc1d36d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001e-1341-430d-bfaf-fad9ae95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ae199e-b580-4852-94c2-e1533d942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ba36-0f07-48bd-a48f-4ecc1d36d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991ea-fb16-468f-aecb-216639d47787}" ma:internalName="TaxCatchAll" ma:showField="CatchAllData" ma:web="523cba36-0f07-48bd-a48f-4ecc1d36d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DF2EA-D537-4A4F-B967-D9D21F1C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6001e-1341-430d-bfaf-fad9ae95a85d"/>
    <ds:schemaRef ds:uri="523cba36-0f07-48bd-a48f-4ecc1d36d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609A8-17D3-4A23-8AA7-0F6DCA16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Callahan</dc:creator>
  <cp:keywords/>
  <dc:description/>
  <cp:lastModifiedBy>Sage Ezell</cp:lastModifiedBy>
  <cp:revision>4</cp:revision>
  <cp:lastPrinted>2023-08-07T17:08:00Z</cp:lastPrinted>
  <dcterms:created xsi:type="dcterms:W3CDTF">2023-08-07T15:46:00Z</dcterms:created>
  <dcterms:modified xsi:type="dcterms:W3CDTF">2023-08-07T18:09:00Z</dcterms:modified>
</cp:coreProperties>
</file>